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64089" w14:textId="7C362960" w:rsidR="00C53BFA" w:rsidRPr="00CF2E0B" w:rsidRDefault="00C53BFA" w:rsidP="00C53BFA">
      <w:pPr>
        <w:pStyle w:val="Pre-title"/>
      </w:pPr>
    </w:p>
    <w:p w14:paraId="1216B23F" w14:textId="000D5EEB" w:rsidR="00C53BFA" w:rsidRPr="009966AB" w:rsidRDefault="00C53BFA" w:rsidP="003F021C">
      <w:pPr>
        <w:pStyle w:val="H1"/>
        <w:ind w:right="2070"/>
      </w:pPr>
      <w:bookmarkStart w:id="0" w:name="_mjrr2kp9be2e" w:colFirst="0" w:colLast="0"/>
      <w:bookmarkEnd w:id="0"/>
      <w:r w:rsidRPr="009966AB">
        <w:rPr>
          <w:noProof/>
        </w:rPr>
        <w:drawing>
          <wp:anchor distT="0" distB="0" distL="0" distR="0" simplePos="0" relativeHeight="251659264" behindDoc="0" locked="0" layoutInCell="1" hidden="0" allowOverlap="1" wp14:anchorId="0C0138B3" wp14:editId="25E8E71F">
            <wp:simplePos x="0" y="0"/>
            <wp:positionH relativeFrom="column">
              <wp:posOffset>-962024</wp:posOffset>
            </wp:positionH>
            <wp:positionV relativeFrom="paragraph">
              <wp:posOffset>53975</wp:posOffset>
            </wp:positionV>
            <wp:extent cx="747713" cy="245752"/>
            <wp:effectExtent l="0" t="0" r="0" b="0"/>
            <wp:wrapSquare wrapText="bothSides" distT="0" distB="0" distL="0" distR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713" cy="2457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860B7">
        <w:rPr>
          <w:noProof/>
        </w:rPr>
        <w:t>Complimentary Workers</w:t>
      </w:r>
      <w:r w:rsidR="00FA1637">
        <w:rPr>
          <w:noProof/>
        </w:rPr>
        <w:t>’</w:t>
      </w:r>
      <w:r w:rsidR="00D860B7">
        <w:rPr>
          <w:noProof/>
        </w:rPr>
        <w:t xml:space="preserve"> Compe</w:t>
      </w:r>
      <w:r w:rsidR="00FA1637">
        <w:rPr>
          <w:noProof/>
        </w:rPr>
        <w:t>n</w:t>
      </w:r>
      <w:r w:rsidR="00D860B7">
        <w:rPr>
          <w:noProof/>
        </w:rPr>
        <w:t>sation Quote from Sedgwick</w:t>
      </w:r>
    </w:p>
    <w:p w14:paraId="353C7C27" w14:textId="49363027" w:rsidR="00FD23EE" w:rsidRPr="00FA1637" w:rsidRDefault="00FD23EE" w:rsidP="00FD23EE">
      <w:pPr>
        <w:spacing w:after="200"/>
        <w:rPr>
          <w:sz w:val="22"/>
          <w:szCs w:val="22"/>
          <w:lang w:val="en-US"/>
        </w:rPr>
      </w:pPr>
      <w:r w:rsidRPr="00FA1637">
        <w:rPr>
          <w:sz w:val="22"/>
          <w:szCs w:val="22"/>
          <w:lang w:val="en-US"/>
        </w:rPr>
        <w:t>This is the time of year when you undoubtedly receive multiple phone calls, emails and hardcopy mail promoting workers' compensation programs.</w:t>
      </w:r>
    </w:p>
    <w:p w14:paraId="2CB24267" w14:textId="1C8DD3F3" w:rsidR="00FD23EE" w:rsidRPr="00FA1637" w:rsidRDefault="00FD23EE" w:rsidP="00FD23EE">
      <w:pPr>
        <w:spacing w:after="200"/>
        <w:rPr>
          <w:rFonts w:ascii="Calibri" w:hAnsi="Calibri" w:cs="Calibri"/>
          <w:sz w:val="22"/>
          <w:szCs w:val="22"/>
        </w:rPr>
      </w:pPr>
      <w:r w:rsidRPr="00FA1637">
        <w:rPr>
          <w:sz w:val="22"/>
          <w:szCs w:val="22"/>
          <w:lang w:val="en-US"/>
        </w:rPr>
        <w:t xml:space="preserve">Our endorsed partner, </w:t>
      </w:r>
      <w:hyperlink r:id="rId8" w:history="1">
        <w:r w:rsidRPr="00FA1637">
          <w:rPr>
            <w:rStyle w:val="Hyperlink"/>
            <w:sz w:val="22"/>
            <w:szCs w:val="22"/>
            <w:lang w:val="en-US"/>
          </w:rPr>
          <w:t>Sedgwick</w:t>
        </w:r>
      </w:hyperlink>
      <w:r w:rsidRPr="00FA1637">
        <w:rPr>
          <w:sz w:val="22"/>
          <w:szCs w:val="22"/>
          <w:lang w:val="en-US"/>
        </w:rPr>
        <w:t xml:space="preserve">, helps members save significantly on workers' compensation premiums and provides valuable advice to our members who are navigating Ohio’s workers' compensation system. Sedgwick’s clients annually save $160 million in workers’ compensation premium through their Group Rating and Group Retrospective Rating Programs. </w:t>
      </w:r>
      <w:r w:rsidR="000627A3" w:rsidRPr="00FA1637">
        <w:rPr>
          <w:rFonts w:ascii="Calibri" w:hAnsi="Calibri" w:cs="Calibri"/>
          <w:sz w:val="22"/>
          <w:szCs w:val="22"/>
        </w:rPr>
        <w:t xml:space="preserve">Sedgwick not only offers the savings but expert guidance of </w:t>
      </w:r>
      <w:r w:rsidR="000627A3" w:rsidRPr="00FA1637">
        <w:rPr>
          <w:rFonts w:ascii="Calibri" w:hAnsi="Calibri" w:cs="Calibri"/>
          <w:b/>
          <w:bCs/>
          <w:sz w:val="22"/>
          <w:szCs w:val="22"/>
        </w:rPr>
        <w:t xml:space="preserve">all </w:t>
      </w:r>
      <w:r w:rsidR="000627A3" w:rsidRPr="00FA1637">
        <w:rPr>
          <w:rFonts w:ascii="Calibri" w:hAnsi="Calibri" w:cs="Calibri"/>
          <w:sz w:val="22"/>
          <w:szCs w:val="22"/>
        </w:rPr>
        <w:t>areas of worker’ compensation including claims management as well as other cost containment programs</w:t>
      </w:r>
      <w:r w:rsidR="000627A3" w:rsidRPr="00FA1637">
        <w:rPr>
          <w:rFonts w:ascii="Calibri" w:hAnsi="Calibri" w:cs="Calibri"/>
          <w:i/>
          <w:iCs/>
          <w:sz w:val="22"/>
          <w:szCs w:val="22"/>
        </w:rPr>
        <w:t>. </w:t>
      </w:r>
    </w:p>
    <w:p w14:paraId="7F2FD573" w14:textId="7BBA0196" w:rsidR="00FA1637" w:rsidRPr="00FA1637" w:rsidRDefault="00FA1637" w:rsidP="00FA1637">
      <w:pPr>
        <w:spacing w:after="200"/>
        <w:rPr>
          <w:sz w:val="22"/>
          <w:szCs w:val="22"/>
          <w:lang w:val="en-US"/>
        </w:rPr>
      </w:pPr>
      <w:r w:rsidRPr="00FA1637">
        <w:rPr>
          <w:sz w:val="22"/>
          <w:szCs w:val="22"/>
          <w:lang w:val="en-US"/>
        </w:rPr>
        <w:t xml:space="preserve">If you are not participating in this member benefit, you can request a no-cost, no-obligation analysis of your potential savings. Please contact your Sedgwick program manager </w:t>
      </w:r>
      <w:r w:rsidR="003C1B1A">
        <w:rPr>
          <w:sz w:val="22"/>
          <w:szCs w:val="22"/>
          <w:lang w:val="en-US"/>
        </w:rPr>
        <w:t xml:space="preserve">David Deyo </w:t>
      </w:r>
      <w:r w:rsidRPr="00FA1637">
        <w:rPr>
          <w:sz w:val="22"/>
          <w:szCs w:val="22"/>
          <w:lang w:val="en-US"/>
        </w:rPr>
        <w:t xml:space="preserve">at </w:t>
      </w:r>
      <w:hyperlink r:id="rId9" w:history="1">
        <w:r w:rsidR="003C1B1A" w:rsidRPr="00A43409">
          <w:rPr>
            <w:rStyle w:val="Hyperlink"/>
            <w:sz w:val="22"/>
            <w:szCs w:val="22"/>
            <w:lang w:val="en-US"/>
          </w:rPr>
          <w:t>david.deyo@sedgwick.com</w:t>
        </w:r>
      </w:hyperlink>
      <w:r w:rsidR="003C1B1A">
        <w:rPr>
          <w:sz w:val="22"/>
          <w:szCs w:val="22"/>
          <w:lang w:val="en-US"/>
        </w:rPr>
        <w:t xml:space="preserve"> </w:t>
      </w:r>
      <w:r w:rsidRPr="00FA1637">
        <w:rPr>
          <w:sz w:val="22"/>
          <w:szCs w:val="22"/>
          <w:lang w:val="en-US"/>
        </w:rPr>
        <w:t xml:space="preserve"> . </w:t>
      </w:r>
    </w:p>
    <w:sectPr w:rsidR="00FA1637" w:rsidRPr="00FA1637" w:rsidSect="00156639">
      <w:headerReference w:type="default" r:id="rId10"/>
      <w:footerReference w:type="default" r:id="rId11"/>
      <w:headerReference w:type="first" r:id="rId12"/>
      <w:pgSz w:w="12240" w:h="15840"/>
      <w:pgMar w:top="1440" w:right="1440" w:bottom="720" w:left="1440" w:header="0" w:footer="8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65333" w14:textId="77777777" w:rsidR="00655FB1" w:rsidRDefault="00655FB1">
      <w:pPr>
        <w:spacing w:after="0" w:line="240" w:lineRule="auto"/>
      </w:pPr>
      <w:r>
        <w:separator/>
      </w:r>
    </w:p>
  </w:endnote>
  <w:endnote w:type="continuationSeparator" w:id="0">
    <w:p w14:paraId="37D6ED66" w14:textId="77777777" w:rsidR="00655FB1" w:rsidRDefault="0065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A459" w14:textId="77777777" w:rsidR="000F39A6" w:rsidRPr="001A015F" w:rsidRDefault="000F39A6">
    <w:pPr>
      <w:spacing w:after="0" w:line="240" w:lineRule="auto"/>
      <w:rPr>
        <w:rFonts w:asciiTheme="majorHAnsi" w:hAnsiTheme="majorHAnsi" w:cstheme="majorHAnsi"/>
        <w:b/>
        <w:color w:val="7996B4"/>
        <w:sz w:val="10"/>
        <w:szCs w:val="10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150F8" w14:textId="77777777" w:rsidR="00655FB1" w:rsidRDefault="00655FB1">
      <w:pPr>
        <w:spacing w:after="0" w:line="240" w:lineRule="auto"/>
      </w:pPr>
      <w:r>
        <w:separator/>
      </w:r>
    </w:p>
  </w:footnote>
  <w:footnote w:type="continuationSeparator" w:id="0">
    <w:p w14:paraId="4208F64D" w14:textId="77777777" w:rsidR="00655FB1" w:rsidRDefault="00655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5DA9" w14:textId="77777777" w:rsidR="000F39A6" w:rsidRPr="001A015F" w:rsidRDefault="000F39A6">
    <w:pPr>
      <w:spacing w:after="0"/>
      <w:rPr>
        <w:rFonts w:asciiTheme="majorHAnsi" w:hAnsiTheme="majorHAnsi" w:cstheme="maj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2674" w14:textId="77777777" w:rsidR="000F39A6" w:rsidRPr="001A015F" w:rsidRDefault="00C53BFA">
    <w:pPr>
      <w:spacing w:after="0"/>
      <w:rPr>
        <w:rFonts w:asciiTheme="majorHAnsi" w:hAnsiTheme="majorHAnsi" w:cstheme="majorHAnsi"/>
        <w:sz w:val="16"/>
        <w:szCs w:val="16"/>
      </w:rPr>
    </w:pPr>
    <w:r w:rsidRPr="001A015F">
      <w:rPr>
        <w:rFonts w:asciiTheme="majorHAnsi" w:hAnsiTheme="majorHAnsi" w:cstheme="majorHAnsi"/>
        <w:noProof/>
      </w:rPr>
      <w:drawing>
        <wp:anchor distT="0" distB="0" distL="0" distR="0" simplePos="0" relativeHeight="251659264" behindDoc="0" locked="0" layoutInCell="1" hidden="0" allowOverlap="1" wp14:anchorId="3DA18A0C" wp14:editId="6D2518D5">
          <wp:simplePos x="0" y="0"/>
          <wp:positionH relativeFrom="column">
            <wp:posOffset>-914400</wp:posOffset>
          </wp:positionH>
          <wp:positionV relativeFrom="paragraph">
            <wp:posOffset>-33020</wp:posOffset>
          </wp:positionV>
          <wp:extent cx="7767320" cy="761365"/>
          <wp:effectExtent l="0" t="0" r="0" b="0"/>
          <wp:wrapTopAndBottom distT="0" dist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320" cy="761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37"/>
    <w:multiLevelType w:val="hybridMultilevel"/>
    <w:tmpl w:val="A2FAE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1F13"/>
    <w:multiLevelType w:val="hybridMultilevel"/>
    <w:tmpl w:val="9334958A"/>
    <w:lvl w:ilvl="0" w:tplc="69A41802">
      <w:numFmt w:val="bullet"/>
      <w:lvlText w:val="•"/>
      <w:lvlJc w:val="left"/>
      <w:pPr>
        <w:ind w:left="1080" w:hanging="720"/>
      </w:pPr>
      <w:rPr>
        <w:rFonts w:ascii="Calibri" w:eastAsia="Source Sans Pr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C48E8"/>
    <w:multiLevelType w:val="hybridMultilevel"/>
    <w:tmpl w:val="FD1CC4F6"/>
    <w:lvl w:ilvl="0" w:tplc="2FFE79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5570"/>
    <w:multiLevelType w:val="hybridMultilevel"/>
    <w:tmpl w:val="D850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1650D"/>
    <w:multiLevelType w:val="hybridMultilevel"/>
    <w:tmpl w:val="7210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5975"/>
    <w:multiLevelType w:val="hybridMultilevel"/>
    <w:tmpl w:val="6A9ED0C2"/>
    <w:lvl w:ilvl="0" w:tplc="69A41802">
      <w:numFmt w:val="bullet"/>
      <w:lvlText w:val="•"/>
      <w:lvlJc w:val="left"/>
      <w:pPr>
        <w:ind w:left="1080" w:hanging="720"/>
      </w:pPr>
      <w:rPr>
        <w:rFonts w:ascii="Calibri" w:eastAsia="Source Sans Pr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52CF0"/>
    <w:multiLevelType w:val="hybridMultilevel"/>
    <w:tmpl w:val="9A08D36E"/>
    <w:lvl w:ilvl="0" w:tplc="CF3CD7A6">
      <w:numFmt w:val="bullet"/>
      <w:lvlText w:val="•"/>
      <w:lvlJc w:val="left"/>
      <w:pPr>
        <w:ind w:left="1080" w:hanging="720"/>
      </w:pPr>
      <w:rPr>
        <w:rFonts w:ascii="Calibri" w:eastAsia="Source Sans Pr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C06B5"/>
    <w:multiLevelType w:val="multilevel"/>
    <w:tmpl w:val="19E6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AF706E"/>
    <w:multiLevelType w:val="hybridMultilevel"/>
    <w:tmpl w:val="EA58D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33816"/>
    <w:multiLevelType w:val="hybridMultilevel"/>
    <w:tmpl w:val="CAD26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0262F"/>
    <w:multiLevelType w:val="hybridMultilevel"/>
    <w:tmpl w:val="266C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C7046"/>
    <w:multiLevelType w:val="hybridMultilevel"/>
    <w:tmpl w:val="EFF4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A502E"/>
    <w:multiLevelType w:val="hybridMultilevel"/>
    <w:tmpl w:val="6032F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A14D2"/>
    <w:multiLevelType w:val="hybridMultilevel"/>
    <w:tmpl w:val="C88C3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52A53"/>
    <w:multiLevelType w:val="hybridMultilevel"/>
    <w:tmpl w:val="518CC15C"/>
    <w:lvl w:ilvl="0" w:tplc="69A41802">
      <w:numFmt w:val="bullet"/>
      <w:lvlText w:val="•"/>
      <w:lvlJc w:val="left"/>
      <w:pPr>
        <w:ind w:left="1080" w:hanging="720"/>
      </w:pPr>
      <w:rPr>
        <w:rFonts w:ascii="Calibri" w:eastAsia="Source Sans Pro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1FB9"/>
    <w:multiLevelType w:val="hybridMultilevel"/>
    <w:tmpl w:val="4FE8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E0D70"/>
    <w:multiLevelType w:val="hybridMultilevel"/>
    <w:tmpl w:val="AB18280E"/>
    <w:lvl w:ilvl="0" w:tplc="E61207D4">
      <w:numFmt w:val="bullet"/>
      <w:lvlText w:val="•"/>
      <w:lvlJc w:val="left"/>
      <w:pPr>
        <w:ind w:left="720" w:hanging="360"/>
      </w:pPr>
      <w:rPr>
        <w:rFonts w:ascii="Calibri" w:eastAsia="Source Sans Pr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D3220"/>
    <w:multiLevelType w:val="hybridMultilevel"/>
    <w:tmpl w:val="82183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9203B"/>
    <w:multiLevelType w:val="hybridMultilevel"/>
    <w:tmpl w:val="60ACF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19501">
    <w:abstractNumId w:val="3"/>
  </w:num>
  <w:num w:numId="2" w16cid:durableId="1133210361">
    <w:abstractNumId w:val="11"/>
  </w:num>
  <w:num w:numId="3" w16cid:durableId="755134298">
    <w:abstractNumId w:val="9"/>
  </w:num>
  <w:num w:numId="4" w16cid:durableId="533883432">
    <w:abstractNumId w:val="0"/>
  </w:num>
  <w:num w:numId="5" w16cid:durableId="319508780">
    <w:abstractNumId w:val="17"/>
  </w:num>
  <w:num w:numId="6" w16cid:durableId="980307121">
    <w:abstractNumId w:val="14"/>
  </w:num>
  <w:num w:numId="7" w16cid:durableId="153107528">
    <w:abstractNumId w:val="1"/>
  </w:num>
  <w:num w:numId="8" w16cid:durableId="1475683133">
    <w:abstractNumId w:val="12"/>
  </w:num>
  <w:num w:numId="9" w16cid:durableId="2104522338">
    <w:abstractNumId w:val="5"/>
  </w:num>
  <w:num w:numId="10" w16cid:durableId="136461327">
    <w:abstractNumId w:val="10"/>
  </w:num>
  <w:num w:numId="11" w16cid:durableId="210968170">
    <w:abstractNumId w:val="16"/>
  </w:num>
  <w:num w:numId="12" w16cid:durableId="2003115738">
    <w:abstractNumId w:val="7"/>
  </w:num>
  <w:num w:numId="13" w16cid:durableId="2145004251">
    <w:abstractNumId w:val="2"/>
  </w:num>
  <w:num w:numId="14" w16cid:durableId="1827013946">
    <w:abstractNumId w:val="4"/>
  </w:num>
  <w:num w:numId="15" w16cid:durableId="1377778442">
    <w:abstractNumId w:val="8"/>
  </w:num>
  <w:num w:numId="16" w16cid:durableId="1084372981">
    <w:abstractNumId w:val="13"/>
  </w:num>
  <w:num w:numId="17" w16cid:durableId="2045254724">
    <w:abstractNumId w:val="15"/>
  </w:num>
  <w:num w:numId="18" w16cid:durableId="922571367">
    <w:abstractNumId w:val="18"/>
  </w:num>
  <w:num w:numId="19" w16cid:durableId="561142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FA"/>
    <w:rsid w:val="000056A5"/>
    <w:rsid w:val="00053320"/>
    <w:rsid w:val="00057A9C"/>
    <w:rsid w:val="000627A3"/>
    <w:rsid w:val="0009751D"/>
    <w:rsid w:val="000A5088"/>
    <w:rsid w:val="000B1BAD"/>
    <w:rsid w:val="000E283C"/>
    <w:rsid w:val="000F39A6"/>
    <w:rsid w:val="00156639"/>
    <w:rsid w:val="00167DEC"/>
    <w:rsid w:val="00183EC0"/>
    <w:rsid w:val="00185F2B"/>
    <w:rsid w:val="00201E8F"/>
    <w:rsid w:val="002915FA"/>
    <w:rsid w:val="002D747D"/>
    <w:rsid w:val="003117FC"/>
    <w:rsid w:val="00364D12"/>
    <w:rsid w:val="003C1B1A"/>
    <w:rsid w:val="003C20D0"/>
    <w:rsid w:val="003D51B6"/>
    <w:rsid w:val="003F021C"/>
    <w:rsid w:val="00416A44"/>
    <w:rsid w:val="00482436"/>
    <w:rsid w:val="004A33CB"/>
    <w:rsid w:val="004A6675"/>
    <w:rsid w:val="004B310D"/>
    <w:rsid w:val="004C76F5"/>
    <w:rsid w:val="0056182B"/>
    <w:rsid w:val="005A375D"/>
    <w:rsid w:val="005C55C5"/>
    <w:rsid w:val="00650C5D"/>
    <w:rsid w:val="00655FB1"/>
    <w:rsid w:val="0068539C"/>
    <w:rsid w:val="006866AC"/>
    <w:rsid w:val="007143A3"/>
    <w:rsid w:val="007B6869"/>
    <w:rsid w:val="007D6299"/>
    <w:rsid w:val="007E15F6"/>
    <w:rsid w:val="00871514"/>
    <w:rsid w:val="00871FED"/>
    <w:rsid w:val="008B7DCA"/>
    <w:rsid w:val="008C3461"/>
    <w:rsid w:val="008E7E9F"/>
    <w:rsid w:val="008F6140"/>
    <w:rsid w:val="009429DF"/>
    <w:rsid w:val="009566F1"/>
    <w:rsid w:val="00967438"/>
    <w:rsid w:val="009E6FD9"/>
    <w:rsid w:val="009F0397"/>
    <w:rsid w:val="00AF193B"/>
    <w:rsid w:val="00AF7B9C"/>
    <w:rsid w:val="00B15710"/>
    <w:rsid w:val="00B33827"/>
    <w:rsid w:val="00B54368"/>
    <w:rsid w:val="00B745EC"/>
    <w:rsid w:val="00B7732D"/>
    <w:rsid w:val="00B8743E"/>
    <w:rsid w:val="00C31A96"/>
    <w:rsid w:val="00C51826"/>
    <w:rsid w:val="00C531A9"/>
    <w:rsid w:val="00C53BFA"/>
    <w:rsid w:val="00C5400D"/>
    <w:rsid w:val="00C770AE"/>
    <w:rsid w:val="00C8755F"/>
    <w:rsid w:val="00C91A0B"/>
    <w:rsid w:val="00CE5EF4"/>
    <w:rsid w:val="00CF55DD"/>
    <w:rsid w:val="00D122F8"/>
    <w:rsid w:val="00D41B4B"/>
    <w:rsid w:val="00D454E1"/>
    <w:rsid w:val="00D860B7"/>
    <w:rsid w:val="00D90A63"/>
    <w:rsid w:val="00D93E3B"/>
    <w:rsid w:val="00DA68FD"/>
    <w:rsid w:val="00E025BA"/>
    <w:rsid w:val="00E34FF8"/>
    <w:rsid w:val="00E675DC"/>
    <w:rsid w:val="00EB0760"/>
    <w:rsid w:val="00EC65CC"/>
    <w:rsid w:val="00ED1F7B"/>
    <w:rsid w:val="00EF1358"/>
    <w:rsid w:val="00EF79A0"/>
    <w:rsid w:val="00F1301C"/>
    <w:rsid w:val="00F5765D"/>
    <w:rsid w:val="00F71E61"/>
    <w:rsid w:val="00FA1637"/>
    <w:rsid w:val="00FD23EE"/>
    <w:rsid w:val="00F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915B"/>
  <w15:chartTrackingRefBased/>
  <w15:docId w15:val="{2252DAA4-53DD-A942-B7BF-A3997529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BFF"/>
    <w:pPr>
      <w:spacing w:after="400" w:line="300" w:lineRule="auto"/>
    </w:pPr>
    <w:rPr>
      <w:rFonts w:eastAsia="Source Sans Pro" w:cs="Source Sans Pro"/>
      <w:sz w:val="20"/>
      <w:szCs w:val="20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BFA"/>
    <w:pPr>
      <w:keepNext/>
      <w:keepLines/>
      <w:spacing w:before="400" w:after="200" w:line="240" w:lineRule="auto"/>
      <w:ind w:left="360"/>
      <w:outlineLvl w:val="3"/>
    </w:pPr>
    <w:rPr>
      <w:b/>
      <w:color w:val="292826"/>
      <w:sz w:val="24"/>
      <w:szCs w:val="24"/>
      <w:highlight w:val="whit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C53BFA"/>
    <w:rPr>
      <w:rFonts w:ascii="Source Sans Pro" w:eastAsia="Source Sans Pro" w:hAnsi="Source Sans Pro" w:cs="Source Sans Pro"/>
      <w:b/>
      <w:color w:val="292826"/>
      <w:highlight w:val="white"/>
      <w:lang w:val="en"/>
    </w:rPr>
  </w:style>
  <w:style w:type="paragraph" w:styleId="ListParagraph">
    <w:name w:val="List Paragraph"/>
    <w:basedOn w:val="Normal"/>
    <w:uiPriority w:val="34"/>
    <w:qFormat/>
    <w:rsid w:val="00C53BFA"/>
    <w:pPr>
      <w:spacing w:after="200"/>
      <w:ind w:left="720"/>
      <w:contextualSpacing/>
    </w:pPr>
    <w:rPr>
      <w:rFonts w:asciiTheme="majorHAnsi" w:hAnsiTheme="majorHAn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BFA"/>
    <w:pPr>
      <w:keepNext/>
      <w:keepLines/>
    </w:pPr>
    <w:rPr>
      <w:rFonts w:ascii="Georgia" w:eastAsia="Georgia" w:hAnsi="Georgia" w:cs="Georgia"/>
      <w:i/>
      <w:color w:val="29282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53BFA"/>
    <w:rPr>
      <w:rFonts w:ascii="Georgia" w:eastAsia="Georgia" w:hAnsi="Georgia" w:cs="Georgia"/>
      <w:i/>
      <w:color w:val="292826"/>
      <w:sz w:val="32"/>
      <w:szCs w:val="32"/>
      <w:lang w:val="en"/>
    </w:rPr>
  </w:style>
  <w:style w:type="paragraph" w:styleId="Footer">
    <w:name w:val="footer"/>
    <w:basedOn w:val="Normal"/>
    <w:link w:val="FooterChar"/>
    <w:uiPriority w:val="99"/>
    <w:unhideWhenUsed/>
    <w:rsid w:val="00C53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BFA"/>
    <w:rPr>
      <w:rFonts w:ascii="Source Sans Pro" w:eastAsia="Source Sans Pro" w:hAnsi="Source Sans Pro" w:cs="Source Sans Pro"/>
      <w:sz w:val="20"/>
      <w:szCs w:val="20"/>
      <w:lang w:val="en"/>
    </w:rPr>
  </w:style>
  <w:style w:type="paragraph" w:customStyle="1" w:styleId="H1">
    <w:name w:val="H1"/>
    <w:qFormat/>
    <w:rsid w:val="00C53BFA"/>
    <w:pPr>
      <w:spacing w:after="200"/>
      <w:ind w:right="2966"/>
    </w:pPr>
    <w:rPr>
      <w:rFonts w:ascii="Calibri Light" w:eastAsia="Source Sans Pro Light" w:hAnsi="Calibri Light" w:cs="Calibri Light"/>
      <w:color w:val="181D21"/>
      <w:sz w:val="48"/>
      <w:szCs w:val="48"/>
      <w:lang w:val="en"/>
    </w:rPr>
  </w:style>
  <w:style w:type="paragraph" w:customStyle="1" w:styleId="H2">
    <w:name w:val="H2"/>
    <w:basedOn w:val="Normal"/>
    <w:qFormat/>
    <w:rsid w:val="008C3461"/>
    <w:pPr>
      <w:spacing w:before="200" w:after="0"/>
      <w:ind w:right="900"/>
    </w:pPr>
    <w:rPr>
      <w:rFonts w:cstheme="majorHAnsi"/>
      <w:b/>
      <w:color w:val="181D21"/>
      <w:sz w:val="24"/>
      <w:szCs w:val="24"/>
    </w:rPr>
  </w:style>
  <w:style w:type="paragraph" w:customStyle="1" w:styleId="H3">
    <w:name w:val="H3"/>
    <w:basedOn w:val="Normal"/>
    <w:qFormat/>
    <w:rsid w:val="00C53BFA"/>
    <w:pPr>
      <w:spacing w:before="200" w:after="0"/>
      <w:ind w:right="900"/>
    </w:pPr>
    <w:rPr>
      <w:rFonts w:asciiTheme="majorHAnsi" w:hAnsiTheme="majorHAnsi" w:cstheme="majorHAnsi"/>
      <w:b/>
      <w:color w:val="018FC8"/>
      <w:sz w:val="18"/>
      <w:szCs w:val="18"/>
    </w:rPr>
  </w:style>
  <w:style w:type="paragraph" w:customStyle="1" w:styleId="Pre-title">
    <w:name w:val="Pre-title"/>
    <w:basedOn w:val="Heading1"/>
    <w:qFormat/>
    <w:rsid w:val="00FD6BFF"/>
    <w:pPr>
      <w:spacing w:before="0" w:line="276" w:lineRule="auto"/>
      <w:ind w:right="900"/>
    </w:pPr>
    <w:rPr>
      <w:rFonts w:asciiTheme="minorHAnsi" w:eastAsia="Source Sans Pro" w:hAnsiTheme="minorHAnsi" w:cstheme="majorHAnsi"/>
      <w:b/>
      <w:color w:val="018FC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3B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/>
    </w:rPr>
  </w:style>
  <w:style w:type="paragraph" w:styleId="Header">
    <w:name w:val="header"/>
    <w:basedOn w:val="Normal"/>
    <w:link w:val="HeaderChar"/>
    <w:uiPriority w:val="99"/>
    <w:unhideWhenUsed/>
    <w:rsid w:val="004C7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6F5"/>
    <w:rPr>
      <w:rFonts w:eastAsia="Source Sans Pro" w:cs="Source Sans Pro"/>
      <w:sz w:val="20"/>
      <w:szCs w:val="20"/>
      <w:lang w:val="en"/>
    </w:rPr>
  </w:style>
  <w:style w:type="paragraph" w:styleId="BodyText">
    <w:name w:val="Body Text"/>
    <w:basedOn w:val="Normal"/>
    <w:link w:val="BodyTextChar"/>
    <w:uiPriority w:val="1"/>
    <w:qFormat/>
    <w:rsid w:val="00482436"/>
    <w:pPr>
      <w:widowControl w:val="0"/>
      <w:autoSpaceDE w:val="0"/>
      <w:autoSpaceDN w:val="0"/>
      <w:spacing w:after="0" w:line="240" w:lineRule="auto"/>
    </w:pPr>
    <w:rPr>
      <w:rFonts w:ascii="Source Sans Pro" w:hAnsi="Source Sans Pro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2436"/>
    <w:rPr>
      <w:rFonts w:ascii="Source Sans Pro" w:eastAsia="Source Sans Pro" w:hAnsi="Source Sans Pro" w:cs="Source Sans Pro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75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75D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7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5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gwick.com/ohiotp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vid.deyo@sedgwick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Deyo, David</cp:lastModifiedBy>
  <cp:revision>2</cp:revision>
  <cp:lastPrinted>2021-06-02T18:36:00Z</cp:lastPrinted>
  <dcterms:created xsi:type="dcterms:W3CDTF">2025-09-08T14:34:00Z</dcterms:created>
  <dcterms:modified xsi:type="dcterms:W3CDTF">2025-09-08T14:34:00Z</dcterms:modified>
</cp:coreProperties>
</file>